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rFonts w:ascii="宋体" w:hAnsi="宋体" w:eastAsia="宋体" w:cs="黑体"/>
          <w:b/>
          <w:bCs/>
          <w:color w:val="000000"/>
          <w:spacing w:val="12"/>
          <w:sz w:val="28"/>
        </w:rPr>
      </w:pPr>
      <w:r>
        <w:rPr>
          <w:rFonts w:hint="eastAsia" w:ascii="宋体" w:hAnsi="宋体" w:eastAsia="宋体" w:cs="黑体"/>
          <w:b/>
          <w:bCs/>
          <w:color w:val="000000"/>
          <w:spacing w:val="12"/>
          <w:sz w:val="28"/>
        </w:rPr>
        <w:t>市六届人大常委会</w:t>
      </w:r>
    </w:p>
    <w:p>
      <w:pPr>
        <w:adjustRightInd w:val="0"/>
        <w:snapToGrid w:val="0"/>
        <w:spacing w:line="440" w:lineRule="exact"/>
        <w:rPr>
          <w:rFonts w:ascii="宋体" w:hAnsi="宋体" w:eastAsia="宋体" w:cs="黑体"/>
          <w:b/>
          <w:bCs/>
          <w:color w:val="000000"/>
          <w:spacing w:val="-4"/>
          <w:sz w:val="28"/>
          <w:szCs w:val="28"/>
        </w:rPr>
      </w:pPr>
      <w:r>
        <w:rPr>
          <w:rFonts w:hint="eastAsia" w:ascii="宋体" w:hAnsi="宋体" w:eastAsia="宋体" w:cs="黑体"/>
          <w:b/>
          <w:bCs/>
          <w:color w:val="000000"/>
          <w:spacing w:val="-4"/>
          <w:sz w:val="28"/>
          <w:szCs w:val="28"/>
        </w:rPr>
        <w:t>第</w:t>
      </w:r>
      <w:r>
        <w:rPr>
          <w:rFonts w:ascii="宋体" w:hAnsi="宋体" w:eastAsia="宋体"/>
          <w:b/>
          <w:bCs/>
          <w:color w:val="000000"/>
          <w:spacing w:val="-4"/>
          <w:sz w:val="28"/>
          <w:szCs w:val="28"/>
        </w:rPr>
        <w:t>4</w:t>
      </w:r>
      <w:r>
        <w:rPr>
          <w:rFonts w:hint="eastAsia" w:ascii="宋体" w:hAnsi="宋体" w:eastAsia="宋体" w:cs="黑体"/>
          <w:b/>
          <w:bCs/>
          <w:color w:val="000000"/>
          <w:spacing w:val="-4"/>
          <w:sz w:val="28"/>
          <w:szCs w:val="28"/>
        </w:rPr>
        <w:t>次会议文件</w:t>
      </w:r>
      <w:r>
        <w:rPr>
          <w:rFonts w:ascii="宋体" w:hAnsi="宋体" w:eastAsia="宋体" w:cs="黑体"/>
          <w:b/>
          <w:bCs/>
          <w:color w:val="000000"/>
          <w:spacing w:val="-4"/>
          <w:sz w:val="28"/>
          <w:szCs w:val="28"/>
        </w:rPr>
        <w:t>(13)</w:t>
      </w:r>
    </w:p>
    <w:p>
      <w:pPr>
        <w:adjustRightInd w:val="0"/>
        <w:snapToGrid w:val="0"/>
        <w:spacing w:line="580" w:lineRule="exact"/>
        <w:rPr>
          <w:color w:val="000000"/>
          <w:sz w:val="28"/>
          <w:szCs w:val="28"/>
        </w:rPr>
      </w:pPr>
    </w:p>
    <w:p>
      <w:pPr>
        <w:adjustRightInd w:val="0"/>
        <w:snapToGrid w:val="0"/>
        <w:spacing w:line="560" w:lineRule="exact"/>
        <w:jc w:val="center"/>
        <w:rPr>
          <w:rFonts w:eastAsia="方正小标宋简体"/>
          <w:color w:val="000000"/>
          <w:sz w:val="44"/>
          <w:szCs w:val="44"/>
        </w:rPr>
      </w:pPr>
      <w:r>
        <w:rPr>
          <w:rFonts w:hint="eastAsia" w:eastAsia="方正小标宋简体"/>
          <w:color w:val="000000"/>
          <w:sz w:val="44"/>
          <w:szCs w:val="44"/>
        </w:rPr>
        <w:t>汉中市人民政府</w:t>
      </w:r>
    </w:p>
    <w:p>
      <w:pPr>
        <w:adjustRightInd w:val="0"/>
        <w:snapToGrid w:val="0"/>
        <w:spacing w:line="560" w:lineRule="exact"/>
        <w:jc w:val="center"/>
        <w:rPr>
          <w:rFonts w:eastAsia="方正小标宋简体"/>
          <w:color w:val="000000"/>
          <w:sz w:val="44"/>
          <w:szCs w:val="44"/>
        </w:rPr>
      </w:pPr>
      <w:r>
        <w:rPr>
          <w:rFonts w:hint="eastAsia" w:eastAsia="方正小标宋简体"/>
          <w:color w:val="000000"/>
          <w:sz w:val="44"/>
          <w:szCs w:val="44"/>
        </w:rPr>
        <w:t>关于</w:t>
      </w:r>
      <w:r>
        <w:rPr>
          <w:rFonts w:eastAsia="方正小标宋简体"/>
          <w:color w:val="000000"/>
          <w:sz w:val="44"/>
          <w:szCs w:val="44"/>
        </w:rPr>
        <w:t>2022</w:t>
      </w:r>
      <w:r>
        <w:rPr>
          <w:rFonts w:hint="eastAsia" w:eastAsia="方正小标宋简体"/>
          <w:color w:val="000000"/>
          <w:sz w:val="44"/>
          <w:szCs w:val="44"/>
        </w:rPr>
        <w:t>年上半年财政预算执行情况的报告</w:t>
      </w:r>
    </w:p>
    <w:p>
      <w:pPr>
        <w:adjustRightInd w:val="0"/>
        <w:snapToGrid w:val="0"/>
        <w:spacing w:line="560" w:lineRule="exact"/>
        <w:jc w:val="center"/>
        <w:rPr>
          <w:rFonts w:eastAsia="楷体_GB2312"/>
          <w:color w:val="000000"/>
          <w:szCs w:val="32"/>
        </w:rPr>
      </w:pPr>
      <w:r>
        <w:rPr>
          <w:rFonts w:eastAsia="楷体_GB2312"/>
          <w:color w:val="000000"/>
          <w:spacing w:val="-10"/>
          <w:szCs w:val="32"/>
        </w:rPr>
        <w:t>——</w:t>
      </w:r>
      <w:r>
        <w:rPr>
          <w:rFonts w:eastAsia="楷体_GB2312"/>
          <w:color w:val="000000"/>
          <w:szCs w:val="32"/>
        </w:rPr>
        <w:t>2022</w:t>
      </w:r>
      <w:r>
        <w:rPr>
          <w:rFonts w:hint="eastAsia" w:eastAsia="楷体_GB2312"/>
          <w:color w:val="000000"/>
          <w:szCs w:val="32"/>
        </w:rPr>
        <w:t>年</w:t>
      </w:r>
      <w:r>
        <w:rPr>
          <w:rFonts w:eastAsia="楷体_GB2312"/>
          <w:color w:val="000000"/>
          <w:szCs w:val="32"/>
        </w:rPr>
        <w:t>8</w:t>
      </w:r>
      <w:r>
        <w:rPr>
          <w:rFonts w:hint="eastAsia" w:eastAsia="楷体_GB2312"/>
          <w:color w:val="000000"/>
          <w:szCs w:val="32"/>
        </w:rPr>
        <w:t>月</w:t>
      </w:r>
      <w:r>
        <w:rPr>
          <w:rFonts w:hint="eastAsia" w:eastAsia="楷体_GB2312"/>
          <w:color w:val="000000"/>
          <w:szCs w:val="32"/>
          <w:lang w:val="en-US" w:eastAsia="zh-CN"/>
        </w:rPr>
        <w:t>24</w:t>
      </w:r>
      <w:r>
        <w:rPr>
          <w:rFonts w:hint="eastAsia" w:eastAsia="楷体_GB2312"/>
          <w:color w:val="000000"/>
          <w:szCs w:val="32"/>
        </w:rPr>
        <w:t>日在汉中市第六届人民代表大会</w:t>
      </w:r>
    </w:p>
    <w:p>
      <w:pPr>
        <w:adjustRightInd w:val="0"/>
        <w:snapToGrid w:val="0"/>
        <w:spacing w:line="560" w:lineRule="exact"/>
        <w:jc w:val="center"/>
        <w:rPr>
          <w:rFonts w:eastAsia="楷体_GB2312"/>
          <w:color w:val="000000"/>
          <w:szCs w:val="32"/>
        </w:rPr>
      </w:pPr>
      <w:r>
        <w:rPr>
          <w:rFonts w:hint="eastAsia" w:eastAsia="楷体_GB2312"/>
          <w:color w:val="000000"/>
          <w:szCs w:val="32"/>
        </w:rPr>
        <w:t>常务委员会第四次会议上</w:t>
      </w:r>
    </w:p>
    <w:p>
      <w:pPr>
        <w:pStyle w:val="23"/>
        <w:adjustRightInd w:val="0"/>
        <w:snapToGrid w:val="0"/>
        <w:spacing w:line="560" w:lineRule="exact"/>
        <w:ind w:firstLine="0" w:firstLineChars="0"/>
        <w:jc w:val="center"/>
        <w:rPr>
          <w:rFonts w:eastAsia="楷体_GB2312"/>
          <w:color w:val="000000"/>
          <w:szCs w:val="32"/>
        </w:rPr>
      </w:pPr>
      <w:r>
        <w:rPr>
          <w:rFonts w:hint="eastAsia" w:eastAsia="楷体_GB2312"/>
          <w:color w:val="000000"/>
          <w:szCs w:val="32"/>
        </w:rPr>
        <w:t>汉中市财政局</w:t>
      </w:r>
    </w:p>
    <w:p>
      <w:pPr>
        <w:pStyle w:val="23"/>
        <w:adjustRightInd w:val="0"/>
        <w:snapToGrid w:val="0"/>
        <w:spacing w:line="560" w:lineRule="exact"/>
        <w:ind w:firstLine="640"/>
        <w:rPr>
          <w:color w:val="000000"/>
          <w:szCs w:val="32"/>
        </w:rPr>
      </w:pPr>
    </w:p>
    <w:p>
      <w:pPr>
        <w:pStyle w:val="23"/>
        <w:adjustRightInd w:val="0"/>
        <w:snapToGrid w:val="0"/>
        <w:spacing w:line="560" w:lineRule="exact"/>
        <w:ind w:firstLine="0" w:firstLineChars="0"/>
        <w:rPr>
          <w:color w:val="000000"/>
          <w:szCs w:val="32"/>
        </w:rPr>
      </w:pPr>
      <w:r>
        <w:rPr>
          <w:rFonts w:hint="eastAsia"/>
          <w:color w:val="000000"/>
          <w:szCs w:val="32"/>
        </w:rPr>
        <w:t>主任、副主任、秘书长、各位委员：</w:t>
      </w:r>
    </w:p>
    <w:p>
      <w:pPr>
        <w:pStyle w:val="23"/>
        <w:adjustRightInd w:val="0"/>
        <w:snapToGrid w:val="0"/>
        <w:spacing w:line="560" w:lineRule="exact"/>
        <w:ind w:firstLine="640"/>
        <w:rPr>
          <w:color w:val="000000"/>
          <w:szCs w:val="32"/>
        </w:rPr>
      </w:pPr>
      <w:r>
        <w:rPr>
          <w:rFonts w:hint="eastAsia"/>
          <w:color w:val="000000"/>
          <w:szCs w:val="32"/>
        </w:rPr>
        <w:t>我受市人民政府委托，现将汉中市</w:t>
      </w:r>
      <w:r>
        <w:rPr>
          <w:color w:val="000000"/>
          <w:szCs w:val="32"/>
        </w:rPr>
        <w:t>2022</w:t>
      </w:r>
      <w:r>
        <w:rPr>
          <w:rFonts w:hint="eastAsia"/>
          <w:color w:val="000000"/>
          <w:szCs w:val="32"/>
        </w:rPr>
        <w:t>年上半年财政预算执行情况报告如下，请予审议。</w:t>
      </w:r>
    </w:p>
    <w:p>
      <w:pPr>
        <w:pStyle w:val="23"/>
        <w:adjustRightInd w:val="0"/>
        <w:snapToGrid w:val="0"/>
        <w:spacing w:line="560" w:lineRule="exact"/>
        <w:ind w:firstLine="640"/>
        <w:rPr>
          <w:rFonts w:eastAsia="黑体"/>
          <w:color w:val="000000"/>
          <w:szCs w:val="32"/>
        </w:rPr>
      </w:pPr>
      <w:r>
        <w:rPr>
          <w:rFonts w:hint="eastAsia" w:eastAsia="黑体"/>
          <w:color w:val="000000"/>
          <w:szCs w:val="32"/>
        </w:rPr>
        <w:t>一、</w:t>
      </w:r>
      <w:r>
        <w:rPr>
          <w:rFonts w:eastAsia="黑体"/>
          <w:color w:val="000000"/>
          <w:szCs w:val="32"/>
        </w:rPr>
        <w:t>2022</w:t>
      </w:r>
      <w:r>
        <w:rPr>
          <w:rFonts w:hint="eastAsia" w:eastAsia="黑体"/>
          <w:color w:val="000000"/>
          <w:szCs w:val="32"/>
        </w:rPr>
        <w:t>年上半年全市财政预算执行情况</w:t>
      </w:r>
    </w:p>
    <w:p>
      <w:pPr>
        <w:pStyle w:val="23"/>
        <w:adjustRightInd w:val="0"/>
        <w:snapToGrid w:val="0"/>
        <w:spacing w:line="560" w:lineRule="exact"/>
        <w:ind w:firstLine="643"/>
        <w:rPr>
          <w:color w:val="000000"/>
          <w:szCs w:val="32"/>
        </w:rPr>
      </w:pPr>
      <w:r>
        <w:rPr>
          <w:rFonts w:hint="eastAsia" w:eastAsia="楷体_GB2312"/>
          <w:b/>
          <w:bCs/>
          <w:color w:val="000000"/>
          <w:szCs w:val="32"/>
        </w:rPr>
        <w:t>（一）一般公共预算执行情况。</w:t>
      </w:r>
      <w:r>
        <w:rPr>
          <w:rFonts w:hint="eastAsia"/>
          <w:color w:val="000000"/>
          <w:szCs w:val="32"/>
        </w:rPr>
        <w:t>全市地方财政收入完成</w:t>
      </w:r>
      <w:r>
        <w:rPr>
          <w:color w:val="000000"/>
          <w:szCs w:val="32"/>
        </w:rPr>
        <w:t>28</w:t>
      </w:r>
      <w:r>
        <w:rPr>
          <w:rFonts w:hint="eastAsia"/>
          <w:color w:val="000000"/>
          <w:szCs w:val="32"/>
        </w:rPr>
        <w:t>亿元，占预算的</w:t>
      </w:r>
      <w:r>
        <w:rPr>
          <w:color w:val="000000"/>
          <w:szCs w:val="32"/>
        </w:rPr>
        <w:t>51.1%</w:t>
      </w:r>
      <w:r>
        <w:rPr>
          <w:rFonts w:hint="eastAsia"/>
          <w:color w:val="000000"/>
          <w:szCs w:val="32"/>
        </w:rPr>
        <w:t>，同比下降</w:t>
      </w:r>
      <w:r>
        <w:rPr>
          <w:color w:val="000000"/>
          <w:szCs w:val="32"/>
        </w:rPr>
        <w:t>10.9%</w:t>
      </w:r>
      <w:r>
        <w:rPr>
          <w:rFonts w:hint="eastAsia"/>
          <w:color w:val="000000"/>
          <w:szCs w:val="32"/>
        </w:rPr>
        <w:t>（主要是落实组合式减税退税政策导致的政策性减收，下同）。全市财政支出执行</w:t>
      </w:r>
      <w:r>
        <w:rPr>
          <w:color w:val="000000"/>
          <w:szCs w:val="32"/>
        </w:rPr>
        <w:t>233.7</w:t>
      </w:r>
      <w:r>
        <w:rPr>
          <w:rFonts w:hint="eastAsia"/>
          <w:color w:val="000000"/>
          <w:szCs w:val="32"/>
        </w:rPr>
        <w:t>亿元，同比增长</w:t>
      </w:r>
      <w:r>
        <w:rPr>
          <w:color w:val="000000"/>
          <w:szCs w:val="32"/>
        </w:rPr>
        <w:t>2.2%</w:t>
      </w:r>
      <w:r>
        <w:rPr>
          <w:rFonts w:hint="eastAsia"/>
          <w:color w:val="000000"/>
          <w:szCs w:val="32"/>
        </w:rPr>
        <w:t>。市本级地方财政收入完成</w:t>
      </w:r>
      <w:r>
        <w:rPr>
          <w:color w:val="000000"/>
          <w:szCs w:val="32"/>
        </w:rPr>
        <w:t>6.4</w:t>
      </w:r>
      <w:r>
        <w:rPr>
          <w:rFonts w:hint="eastAsia"/>
          <w:color w:val="000000"/>
          <w:szCs w:val="32"/>
        </w:rPr>
        <w:t>亿元，占预算的</w:t>
      </w:r>
      <w:r>
        <w:rPr>
          <w:color w:val="000000"/>
          <w:szCs w:val="32"/>
        </w:rPr>
        <w:t>47.8%</w:t>
      </w:r>
      <w:r>
        <w:rPr>
          <w:rFonts w:hint="eastAsia"/>
          <w:color w:val="000000"/>
          <w:szCs w:val="32"/>
        </w:rPr>
        <w:t>，同比下降</w:t>
      </w:r>
      <w:r>
        <w:rPr>
          <w:color w:val="000000"/>
          <w:szCs w:val="32"/>
        </w:rPr>
        <w:t>16.3%</w:t>
      </w:r>
      <w:r>
        <w:rPr>
          <w:rFonts w:hint="eastAsia"/>
          <w:color w:val="000000"/>
          <w:szCs w:val="32"/>
        </w:rPr>
        <w:t>。市本级财政支出完成</w:t>
      </w:r>
      <w:r>
        <w:rPr>
          <w:color w:val="000000"/>
          <w:szCs w:val="32"/>
        </w:rPr>
        <w:t>37.2</w:t>
      </w:r>
      <w:r>
        <w:rPr>
          <w:rFonts w:hint="eastAsia"/>
          <w:color w:val="000000"/>
          <w:szCs w:val="32"/>
        </w:rPr>
        <w:t>亿元，同比增长</w:t>
      </w:r>
      <w:r>
        <w:rPr>
          <w:color w:val="000000"/>
          <w:szCs w:val="32"/>
        </w:rPr>
        <w:t>18.4%</w:t>
      </w:r>
      <w:r>
        <w:rPr>
          <w:rFonts w:hint="eastAsia"/>
          <w:color w:val="000000"/>
          <w:szCs w:val="32"/>
        </w:rPr>
        <w:t>。</w:t>
      </w:r>
    </w:p>
    <w:p>
      <w:pPr>
        <w:pStyle w:val="23"/>
        <w:adjustRightInd w:val="0"/>
        <w:snapToGrid w:val="0"/>
        <w:spacing w:line="560" w:lineRule="exact"/>
        <w:ind w:firstLine="643"/>
        <w:rPr>
          <w:color w:val="000000"/>
          <w:szCs w:val="32"/>
        </w:rPr>
      </w:pPr>
      <w:r>
        <w:rPr>
          <w:rFonts w:hint="eastAsia" w:eastAsia="楷体_GB2312"/>
          <w:b/>
          <w:bCs/>
          <w:color w:val="000000"/>
          <w:szCs w:val="32"/>
        </w:rPr>
        <w:t>（二）政府性基金预算执行情况。</w:t>
      </w:r>
      <w:r>
        <w:rPr>
          <w:rFonts w:hint="eastAsia"/>
          <w:color w:val="000000"/>
          <w:spacing w:val="-6"/>
          <w:szCs w:val="32"/>
        </w:rPr>
        <w:t>全市政府性基金预算收入完成</w:t>
      </w:r>
      <w:r>
        <w:rPr>
          <w:color w:val="000000"/>
          <w:spacing w:val="-6"/>
          <w:szCs w:val="32"/>
        </w:rPr>
        <w:t>18.4</w:t>
      </w:r>
      <w:r>
        <w:rPr>
          <w:rFonts w:hint="eastAsia"/>
          <w:color w:val="000000"/>
          <w:spacing w:val="-6"/>
          <w:szCs w:val="32"/>
        </w:rPr>
        <w:t>亿元，占预算的</w:t>
      </w:r>
      <w:r>
        <w:rPr>
          <w:color w:val="000000"/>
          <w:spacing w:val="-6"/>
          <w:szCs w:val="32"/>
        </w:rPr>
        <w:t>32.4%</w:t>
      </w:r>
      <w:r>
        <w:rPr>
          <w:rFonts w:hint="eastAsia"/>
          <w:color w:val="000000"/>
          <w:spacing w:val="-6"/>
          <w:szCs w:val="32"/>
        </w:rPr>
        <w:t>，同比下降</w:t>
      </w:r>
      <w:r>
        <w:rPr>
          <w:color w:val="000000"/>
          <w:spacing w:val="-6"/>
          <w:szCs w:val="32"/>
        </w:rPr>
        <w:t>32.7%</w:t>
      </w:r>
      <w:r>
        <w:rPr>
          <w:rFonts w:hint="eastAsia"/>
          <w:color w:val="000000"/>
          <w:spacing w:val="-6"/>
          <w:szCs w:val="32"/>
        </w:rPr>
        <w:t>。全市政府性基金预算支出完成</w:t>
      </w:r>
      <w:r>
        <w:rPr>
          <w:color w:val="000000"/>
          <w:spacing w:val="-6"/>
          <w:szCs w:val="32"/>
        </w:rPr>
        <w:t>43.5</w:t>
      </w:r>
      <w:r>
        <w:rPr>
          <w:rFonts w:hint="eastAsia"/>
          <w:color w:val="000000"/>
          <w:spacing w:val="-6"/>
          <w:szCs w:val="32"/>
        </w:rPr>
        <w:t>亿元，同比增长</w:t>
      </w:r>
      <w:r>
        <w:rPr>
          <w:color w:val="000000"/>
          <w:spacing w:val="-6"/>
          <w:szCs w:val="32"/>
        </w:rPr>
        <w:t>81.7%</w:t>
      </w:r>
      <w:r>
        <w:rPr>
          <w:rFonts w:hint="eastAsia"/>
          <w:color w:val="000000"/>
          <w:spacing w:val="-6"/>
          <w:szCs w:val="32"/>
        </w:rPr>
        <w:t>。市本级政府性基金预算收入完成</w:t>
      </w:r>
      <w:r>
        <w:rPr>
          <w:color w:val="000000"/>
          <w:spacing w:val="-6"/>
          <w:szCs w:val="32"/>
        </w:rPr>
        <w:t>7.3</w:t>
      </w:r>
      <w:r>
        <w:rPr>
          <w:rFonts w:hint="eastAsia"/>
          <w:color w:val="000000"/>
          <w:spacing w:val="-6"/>
          <w:szCs w:val="32"/>
        </w:rPr>
        <w:t>亿元，同比增长</w:t>
      </w:r>
      <w:r>
        <w:rPr>
          <w:color w:val="000000"/>
          <w:spacing w:val="-6"/>
          <w:szCs w:val="32"/>
        </w:rPr>
        <w:t>75.6%</w:t>
      </w:r>
      <w:r>
        <w:rPr>
          <w:rFonts w:hint="eastAsia"/>
          <w:color w:val="000000"/>
          <w:spacing w:val="-6"/>
          <w:szCs w:val="32"/>
        </w:rPr>
        <w:t>。市本级政府性基金预算支出完成</w:t>
      </w:r>
      <w:r>
        <w:rPr>
          <w:color w:val="000000"/>
          <w:spacing w:val="-6"/>
          <w:szCs w:val="32"/>
        </w:rPr>
        <w:t>1.4</w:t>
      </w:r>
      <w:r>
        <w:rPr>
          <w:rFonts w:hint="eastAsia"/>
          <w:color w:val="000000"/>
          <w:spacing w:val="-6"/>
          <w:szCs w:val="32"/>
        </w:rPr>
        <w:t>亿元，同比下降</w:t>
      </w:r>
      <w:r>
        <w:rPr>
          <w:color w:val="000000"/>
          <w:spacing w:val="-6"/>
          <w:szCs w:val="32"/>
        </w:rPr>
        <w:t>65.9%</w:t>
      </w:r>
      <w:r>
        <w:rPr>
          <w:rFonts w:hint="eastAsia"/>
          <w:color w:val="000000"/>
          <w:spacing w:val="-6"/>
          <w:szCs w:val="32"/>
        </w:rPr>
        <w:t>。</w:t>
      </w:r>
    </w:p>
    <w:p>
      <w:pPr>
        <w:pStyle w:val="23"/>
        <w:adjustRightInd w:val="0"/>
        <w:snapToGrid w:val="0"/>
        <w:spacing w:line="580" w:lineRule="exact"/>
        <w:ind w:firstLine="643"/>
        <w:rPr>
          <w:color w:val="000000"/>
          <w:szCs w:val="32"/>
        </w:rPr>
      </w:pPr>
      <w:r>
        <w:rPr>
          <w:rFonts w:hint="eastAsia" w:eastAsia="楷体_GB2312"/>
          <w:b/>
          <w:bCs/>
          <w:color w:val="000000"/>
          <w:szCs w:val="32"/>
        </w:rPr>
        <w:t>（三）国有资本经营预算执行情况。</w:t>
      </w:r>
      <w:r>
        <w:rPr>
          <w:rFonts w:hint="eastAsia"/>
          <w:color w:val="000000"/>
          <w:szCs w:val="32"/>
        </w:rPr>
        <w:t>全市国有资本经营预算收入完成</w:t>
      </w:r>
      <w:r>
        <w:rPr>
          <w:color w:val="000000"/>
          <w:szCs w:val="32"/>
        </w:rPr>
        <w:t>8350</w:t>
      </w:r>
      <w:r>
        <w:rPr>
          <w:rFonts w:hint="eastAsia"/>
          <w:color w:val="000000"/>
          <w:szCs w:val="32"/>
        </w:rPr>
        <w:t>万元，占预算的</w:t>
      </w:r>
      <w:r>
        <w:rPr>
          <w:color w:val="000000"/>
          <w:szCs w:val="32"/>
        </w:rPr>
        <w:t>241.3%</w:t>
      </w:r>
      <w:r>
        <w:rPr>
          <w:rFonts w:hint="eastAsia"/>
          <w:color w:val="000000"/>
          <w:szCs w:val="32"/>
        </w:rPr>
        <w:t>，同比增长</w:t>
      </w:r>
      <w:r>
        <w:rPr>
          <w:color w:val="000000"/>
          <w:szCs w:val="32"/>
        </w:rPr>
        <w:t>269.3%</w:t>
      </w:r>
      <w:r>
        <w:rPr>
          <w:rFonts w:hint="eastAsia"/>
          <w:color w:val="000000"/>
          <w:szCs w:val="32"/>
        </w:rPr>
        <w:t>。全市国有资本经营预算支出完成</w:t>
      </w:r>
      <w:r>
        <w:rPr>
          <w:color w:val="000000"/>
          <w:szCs w:val="32"/>
        </w:rPr>
        <w:t>1279</w:t>
      </w:r>
      <w:r>
        <w:rPr>
          <w:rFonts w:hint="eastAsia"/>
          <w:color w:val="000000"/>
          <w:szCs w:val="32"/>
        </w:rPr>
        <w:t>万元，同比增长</w:t>
      </w:r>
      <w:r>
        <w:rPr>
          <w:color w:val="000000"/>
          <w:szCs w:val="32"/>
        </w:rPr>
        <w:t>61.7%</w:t>
      </w:r>
      <w:r>
        <w:rPr>
          <w:rFonts w:hint="eastAsia"/>
          <w:color w:val="000000"/>
          <w:szCs w:val="32"/>
        </w:rPr>
        <w:t>。市本级国有资本经营预算收入完成</w:t>
      </w:r>
      <w:r>
        <w:rPr>
          <w:color w:val="000000"/>
          <w:szCs w:val="32"/>
        </w:rPr>
        <w:t>1250</w:t>
      </w:r>
      <w:r>
        <w:rPr>
          <w:rFonts w:hint="eastAsia"/>
          <w:color w:val="000000"/>
          <w:szCs w:val="32"/>
        </w:rPr>
        <w:t>万元，占预算的</w:t>
      </w:r>
      <w:r>
        <w:rPr>
          <w:color w:val="000000"/>
          <w:szCs w:val="32"/>
        </w:rPr>
        <w:t>44.6%</w:t>
      </w:r>
      <w:r>
        <w:rPr>
          <w:rFonts w:hint="eastAsia"/>
          <w:color w:val="000000"/>
          <w:szCs w:val="32"/>
        </w:rPr>
        <w:t>，同比下降</w:t>
      </w:r>
      <w:r>
        <w:rPr>
          <w:color w:val="000000"/>
          <w:szCs w:val="32"/>
        </w:rPr>
        <w:t>25.8%</w:t>
      </w:r>
      <w:r>
        <w:rPr>
          <w:rFonts w:hint="eastAsia"/>
          <w:color w:val="000000"/>
          <w:szCs w:val="32"/>
        </w:rPr>
        <w:t>。市本级国有资本经营预算支出完成</w:t>
      </w:r>
      <w:r>
        <w:rPr>
          <w:color w:val="000000"/>
          <w:szCs w:val="32"/>
        </w:rPr>
        <w:t>99</w:t>
      </w:r>
      <w:r>
        <w:rPr>
          <w:rFonts w:hint="eastAsia"/>
          <w:color w:val="000000"/>
          <w:szCs w:val="32"/>
        </w:rPr>
        <w:t>万元，同比下降</w:t>
      </w:r>
      <w:r>
        <w:rPr>
          <w:color w:val="000000"/>
          <w:szCs w:val="32"/>
        </w:rPr>
        <w:t>71.3%</w:t>
      </w:r>
      <w:r>
        <w:rPr>
          <w:rFonts w:hint="eastAsia"/>
          <w:color w:val="000000"/>
          <w:szCs w:val="32"/>
        </w:rPr>
        <w:t>。</w:t>
      </w:r>
      <w:bookmarkStart w:id="0" w:name="_GoBack"/>
      <w:bookmarkEnd w:id="0"/>
    </w:p>
    <w:p>
      <w:pPr>
        <w:pStyle w:val="23"/>
        <w:adjustRightInd w:val="0"/>
        <w:snapToGrid w:val="0"/>
        <w:spacing w:line="580" w:lineRule="exact"/>
        <w:ind w:firstLine="643"/>
        <w:rPr>
          <w:color w:val="000000"/>
          <w:szCs w:val="32"/>
        </w:rPr>
      </w:pPr>
      <w:r>
        <w:rPr>
          <w:rFonts w:hint="eastAsia" w:eastAsia="楷体_GB2312"/>
          <w:b/>
          <w:bCs/>
          <w:color w:val="000000"/>
          <w:szCs w:val="32"/>
        </w:rPr>
        <w:t>（四）社会保险基金预算执行情况。</w:t>
      </w:r>
      <w:r>
        <w:rPr>
          <w:rFonts w:hint="eastAsia"/>
          <w:color w:val="000000"/>
          <w:szCs w:val="32"/>
        </w:rPr>
        <w:t>全市社保基金预算收入完成</w:t>
      </w:r>
      <w:r>
        <w:rPr>
          <w:color w:val="000000"/>
          <w:szCs w:val="32"/>
        </w:rPr>
        <w:t>48.4</w:t>
      </w:r>
      <w:r>
        <w:rPr>
          <w:rFonts w:hint="eastAsia"/>
          <w:color w:val="000000"/>
          <w:szCs w:val="32"/>
        </w:rPr>
        <w:t>亿元，占预算的</w:t>
      </w:r>
      <w:r>
        <w:rPr>
          <w:color w:val="000000"/>
          <w:szCs w:val="32"/>
        </w:rPr>
        <w:t>47.2%</w:t>
      </w:r>
      <w:r>
        <w:rPr>
          <w:rFonts w:hint="eastAsia"/>
          <w:color w:val="000000"/>
          <w:szCs w:val="32"/>
        </w:rPr>
        <w:t>。全市社保基金预算支出完成</w:t>
      </w:r>
      <w:r>
        <w:rPr>
          <w:color w:val="000000"/>
          <w:szCs w:val="32"/>
        </w:rPr>
        <w:t>32.4</w:t>
      </w:r>
      <w:r>
        <w:rPr>
          <w:rFonts w:hint="eastAsia"/>
          <w:color w:val="000000"/>
          <w:szCs w:val="32"/>
        </w:rPr>
        <w:t>亿元，占预算的</w:t>
      </w:r>
      <w:r>
        <w:rPr>
          <w:color w:val="000000"/>
          <w:szCs w:val="32"/>
        </w:rPr>
        <w:t>36.2%</w:t>
      </w:r>
      <w:r>
        <w:rPr>
          <w:rFonts w:hint="eastAsia"/>
          <w:color w:val="000000"/>
          <w:szCs w:val="32"/>
        </w:rPr>
        <w:t>。主要是</w:t>
      </w:r>
      <w:r>
        <w:rPr>
          <w:color w:val="000000"/>
          <w:szCs w:val="32"/>
        </w:rPr>
        <w:t>2022</w:t>
      </w:r>
      <w:r>
        <w:rPr>
          <w:rFonts w:hint="eastAsia"/>
          <w:color w:val="000000"/>
          <w:szCs w:val="32"/>
        </w:rPr>
        <w:t>年起支付方式发生改变，医保基金实行总额控制。</w:t>
      </w:r>
    </w:p>
    <w:p>
      <w:pPr>
        <w:pStyle w:val="23"/>
        <w:adjustRightInd w:val="0"/>
        <w:snapToGrid w:val="0"/>
        <w:spacing w:line="580" w:lineRule="exact"/>
        <w:ind w:firstLine="640"/>
        <w:rPr>
          <w:rFonts w:eastAsia="黑体"/>
          <w:color w:val="000000"/>
          <w:szCs w:val="32"/>
        </w:rPr>
      </w:pPr>
      <w:r>
        <w:rPr>
          <w:rFonts w:hint="eastAsia" w:eastAsia="黑体"/>
          <w:color w:val="000000"/>
          <w:szCs w:val="32"/>
        </w:rPr>
        <w:t>二、上半年预算执行的特点和主要工作措施</w:t>
      </w:r>
    </w:p>
    <w:p>
      <w:pPr>
        <w:pStyle w:val="23"/>
        <w:adjustRightInd w:val="0"/>
        <w:snapToGrid w:val="0"/>
        <w:spacing w:line="580" w:lineRule="exact"/>
        <w:ind w:firstLine="643"/>
        <w:rPr>
          <w:color w:val="000000"/>
          <w:szCs w:val="32"/>
        </w:rPr>
      </w:pPr>
      <w:r>
        <w:rPr>
          <w:rFonts w:hint="eastAsia" w:eastAsia="楷体_GB2312"/>
          <w:b/>
          <w:bCs/>
          <w:color w:val="000000"/>
          <w:szCs w:val="32"/>
        </w:rPr>
        <w:t>（一）减税退税全面落实。</w:t>
      </w:r>
      <w:r>
        <w:rPr>
          <w:rFonts w:hint="eastAsia"/>
          <w:color w:val="000000"/>
          <w:szCs w:val="32"/>
        </w:rPr>
        <w:t>成立了退税减税降费领导小组，印发了落实好新的组合式税费支持政策的通知，建立了财政、税务、人行等部门定期会商机制</w:t>
      </w:r>
      <w:r>
        <w:rPr>
          <w:rFonts w:hint="eastAsia"/>
          <w:color w:val="000000"/>
          <w:szCs w:val="32"/>
          <w:lang w:eastAsia="zh-CN"/>
        </w:rPr>
        <w:t>，</w:t>
      </w:r>
      <w:r>
        <w:rPr>
          <w:rFonts w:hint="eastAsia"/>
          <w:color w:val="000000"/>
          <w:szCs w:val="32"/>
        </w:rPr>
        <w:t>将落实税费政策纳入</w:t>
      </w:r>
      <w:r>
        <w:rPr>
          <w:rFonts w:hint="eastAsia"/>
          <w:color w:val="000000"/>
          <w:szCs w:val="32"/>
          <w:lang w:eastAsia="zh-CN"/>
        </w:rPr>
        <w:t>“</w:t>
      </w:r>
      <w:r>
        <w:rPr>
          <w:rFonts w:hint="eastAsia"/>
          <w:color w:val="000000"/>
          <w:szCs w:val="32"/>
          <w:lang w:val="en-US" w:eastAsia="zh-CN"/>
        </w:rPr>
        <w:t>进、知、解</w:t>
      </w:r>
      <w:r>
        <w:rPr>
          <w:rFonts w:hint="eastAsia"/>
          <w:color w:val="000000"/>
          <w:szCs w:val="32"/>
          <w:lang w:eastAsia="zh-CN"/>
        </w:rPr>
        <w:t>”</w:t>
      </w:r>
      <w:r>
        <w:rPr>
          <w:rFonts w:hint="eastAsia"/>
          <w:color w:val="000000"/>
          <w:szCs w:val="32"/>
        </w:rPr>
        <w:t>活动，上半年全市落实退减免缓各项税收</w:t>
      </w:r>
      <w:r>
        <w:rPr>
          <w:color w:val="000000"/>
          <w:szCs w:val="32"/>
        </w:rPr>
        <w:t>16.67</w:t>
      </w:r>
      <w:r>
        <w:rPr>
          <w:rFonts w:hint="eastAsia"/>
          <w:color w:val="000000"/>
          <w:szCs w:val="32"/>
        </w:rPr>
        <w:t>亿元，涉及市县级</w:t>
      </w:r>
      <w:r>
        <w:rPr>
          <w:color w:val="000000"/>
          <w:szCs w:val="32"/>
        </w:rPr>
        <w:t>6.15</w:t>
      </w:r>
      <w:r>
        <w:rPr>
          <w:rFonts w:hint="eastAsia"/>
          <w:color w:val="000000"/>
          <w:szCs w:val="32"/>
        </w:rPr>
        <w:t>亿元，其中：增值税留抵退税</w:t>
      </w:r>
      <w:r>
        <w:rPr>
          <w:color w:val="000000"/>
          <w:szCs w:val="32"/>
        </w:rPr>
        <w:t>11.39</w:t>
      </w:r>
      <w:r>
        <w:rPr>
          <w:rFonts w:hint="eastAsia"/>
          <w:color w:val="000000"/>
          <w:szCs w:val="32"/>
        </w:rPr>
        <w:t>亿元，涉及市县级</w:t>
      </w:r>
      <w:r>
        <w:rPr>
          <w:color w:val="000000"/>
          <w:szCs w:val="32"/>
        </w:rPr>
        <w:t>3.99</w:t>
      </w:r>
      <w:r>
        <w:rPr>
          <w:rFonts w:hint="eastAsia"/>
          <w:color w:val="000000"/>
          <w:szCs w:val="32"/>
        </w:rPr>
        <w:t>亿元，切实让企业享受到政策红利。同时，按月做好留抵退税调库，管好用好补助资金，确保政策落到实处。</w:t>
      </w:r>
    </w:p>
    <w:p>
      <w:pPr>
        <w:pStyle w:val="23"/>
        <w:adjustRightInd w:val="0"/>
        <w:snapToGrid w:val="0"/>
        <w:spacing w:line="580" w:lineRule="exact"/>
        <w:ind w:firstLine="643"/>
        <w:rPr>
          <w:color w:val="000000"/>
          <w:szCs w:val="32"/>
        </w:rPr>
      </w:pPr>
      <w:r>
        <w:rPr>
          <w:rFonts w:hint="eastAsia" w:eastAsia="楷体_GB2312"/>
          <w:b/>
          <w:bCs/>
          <w:color w:val="000000"/>
          <w:szCs w:val="32"/>
        </w:rPr>
        <w:t>（二）争取资金稳步提升。</w:t>
      </w:r>
      <w:r>
        <w:rPr>
          <w:rFonts w:hint="eastAsia"/>
          <w:color w:val="000000"/>
          <w:szCs w:val="32"/>
        </w:rPr>
        <w:t>上半年，全市争取均衡性转移支付</w:t>
      </w:r>
      <w:r>
        <w:rPr>
          <w:color w:val="000000"/>
          <w:szCs w:val="32"/>
        </w:rPr>
        <w:t>92.7</w:t>
      </w:r>
      <w:r>
        <w:rPr>
          <w:rFonts w:hint="eastAsia"/>
          <w:color w:val="000000"/>
          <w:szCs w:val="32"/>
        </w:rPr>
        <w:t>亿元，增长</w:t>
      </w:r>
      <w:r>
        <w:rPr>
          <w:color w:val="000000"/>
          <w:szCs w:val="32"/>
        </w:rPr>
        <w:t>11.8%</w:t>
      </w:r>
      <w:r>
        <w:rPr>
          <w:rFonts w:hint="eastAsia"/>
          <w:color w:val="000000"/>
          <w:szCs w:val="32"/>
        </w:rPr>
        <w:t>。争取重点生态功能区转移支付</w:t>
      </w:r>
      <w:r>
        <w:rPr>
          <w:color w:val="000000"/>
          <w:szCs w:val="32"/>
        </w:rPr>
        <w:t>13.9</w:t>
      </w:r>
      <w:r>
        <w:rPr>
          <w:rFonts w:hint="eastAsia"/>
          <w:color w:val="000000"/>
          <w:szCs w:val="32"/>
        </w:rPr>
        <w:t>亿元，增长</w:t>
      </w:r>
      <w:r>
        <w:rPr>
          <w:color w:val="000000"/>
          <w:szCs w:val="32"/>
        </w:rPr>
        <w:t>13.1%</w:t>
      </w:r>
      <w:r>
        <w:rPr>
          <w:rFonts w:hint="eastAsia"/>
          <w:color w:val="000000"/>
          <w:szCs w:val="32"/>
        </w:rPr>
        <w:t>。争取小微企业留抵退税和重点民生转移支付</w:t>
      </w:r>
      <w:r>
        <w:rPr>
          <w:color w:val="000000"/>
          <w:szCs w:val="32"/>
        </w:rPr>
        <w:t>13.3</w:t>
      </w:r>
      <w:r>
        <w:rPr>
          <w:rFonts w:hint="eastAsia"/>
          <w:color w:val="000000"/>
          <w:szCs w:val="32"/>
        </w:rPr>
        <w:t>亿元。争取县级基本财力奖补资金</w:t>
      </w:r>
      <w:r>
        <w:rPr>
          <w:color w:val="000000"/>
          <w:szCs w:val="32"/>
        </w:rPr>
        <w:t>13.6</w:t>
      </w:r>
      <w:r>
        <w:rPr>
          <w:rFonts w:hint="eastAsia"/>
          <w:color w:val="000000"/>
          <w:szCs w:val="32"/>
        </w:rPr>
        <w:t>亿元。同时，争取新增一般债券</w:t>
      </w:r>
      <w:r>
        <w:rPr>
          <w:color w:val="000000"/>
          <w:szCs w:val="32"/>
        </w:rPr>
        <w:t>8.9</w:t>
      </w:r>
      <w:r>
        <w:rPr>
          <w:rFonts w:hint="eastAsia"/>
          <w:color w:val="000000"/>
          <w:szCs w:val="32"/>
        </w:rPr>
        <w:t>亿元支持了</w:t>
      </w:r>
      <w:r>
        <w:rPr>
          <w:color w:val="000000"/>
          <w:szCs w:val="32"/>
        </w:rPr>
        <w:t>110</w:t>
      </w:r>
      <w:r>
        <w:rPr>
          <w:rFonts w:hint="eastAsia"/>
          <w:color w:val="000000"/>
          <w:szCs w:val="32"/>
        </w:rPr>
        <w:t>个公益性项目建设，特别是在年初争取</w:t>
      </w:r>
      <w:r>
        <w:rPr>
          <w:color w:val="000000"/>
          <w:szCs w:val="32"/>
        </w:rPr>
        <w:t>32</w:t>
      </w:r>
      <w:r>
        <w:rPr>
          <w:rFonts w:hint="eastAsia"/>
          <w:color w:val="000000"/>
          <w:szCs w:val="32"/>
        </w:rPr>
        <w:t>亿元新增专项债券额度的基础上又争取</w:t>
      </w:r>
      <w:r>
        <w:rPr>
          <w:color w:val="000000"/>
          <w:szCs w:val="32"/>
        </w:rPr>
        <w:t>8.51</w:t>
      </w:r>
      <w:r>
        <w:rPr>
          <w:rFonts w:hint="eastAsia"/>
          <w:color w:val="000000"/>
          <w:szCs w:val="32"/>
        </w:rPr>
        <w:t>亿元，专项债券达到</w:t>
      </w:r>
      <w:r>
        <w:rPr>
          <w:color w:val="000000"/>
          <w:szCs w:val="32"/>
        </w:rPr>
        <w:t>40.51</w:t>
      </w:r>
      <w:r>
        <w:rPr>
          <w:rFonts w:hint="eastAsia"/>
          <w:color w:val="000000"/>
          <w:szCs w:val="32"/>
        </w:rPr>
        <w:t>亿元支持了</w:t>
      </w:r>
      <w:r>
        <w:rPr>
          <w:color w:val="000000"/>
          <w:szCs w:val="32"/>
        </w:rPr>
        <w:t>62</w:t>
      </w:r>
      <w:r>
        <w:rPr>
          <w:rFonts w:hint="eastAsia"/>
          <w:color w:val="000000"/>
          <w:szCs w:val="32"/>
        </w:rPr>
        <w:t>个重点项目建设。</w:t>
      </w:r>
    </w:p>
    <w:p>
      <w:pPr>
        <w:pStyle w:val="23"/>
        <w:adjustRightInd w:val="0"/>
        <w:snapToGrid w:val="0"/>
        <w:spacing w:line="580" w:lineRule="exact"/>
        <w:ind w:firstLine="643"/>
        <w:rPr>
          <w:color w:val="000000"/>
          <w:szCs w:val="32"/>
        </w:rPr>
      </w:pPr>
      <w:r>
        <w:rPr>
          <w:rFonts w:hint="eastAsia" w:eastAsia="楷体_GB2312"/>
          <w:b/>
          <w:bCs/>
          <w:color w:val="000000"/>
          <w:szCs w:val="32"/>
        </w:rPr>
        <w:t>（三）支出进度不断加快。</w:t>
      </w:r>
      <w:r>
        <w:rPr>
          <w:rFonts w:hint="eastAsia"/>
          <w:color w:val="000000"/>
          <w:szCs w:val="32"/>
        </w:rPr>
        <w:t>市本级在年初运转类项目已做压减的基础上，对非刚性非重点支出再压减</w:t>
      </w:r>
      <w:r>
        <w:rPr>
          <w:color w:val="000000"/>
          <w:szCs w:val="32"/>
        </w:rPr>
        <w:t>5%</w:t>
      </w:r>
      <w:r>
        <w:rPr>
          <w:rFonts w:hint="eastAsia"/>
          <w:color w:val="000000"/>
          <w:szCs w:val="32"/>
        </w:rPr>
        <w:t>，腾出更多财政资源保市场主体和保基本民生，各县（区）同步压减了一般性支出。推进年初预算和转移支付资金早分配早下达快支出，将支出目标分解落实到各县（区），会同主管部门加强资金跟踪督促，定期通报支出进度，尽早发挥资金和政策效应，上半年财政支出占年初预算的</w:t>
      </w:r>
      <w:r>
        <w:rPr>
          <w:color w:val="000000"/>
          <w:szCs w:val="32"/>
        </w:rPr>
        <w:t>72.6%</w:t>
      </w:r>
      <w:r>
        <w:rPr>
          <w:rFonts w:hint="eastAsia"/>
          <w:color w:val="000000"/>
          <w:szCs w:val="32"/>
        </w:rPr>
        <w:t>，支出规模为历年最高。</w:t>
      </w:r>
    </w:p>
    <w:p>
      <w:pPr>
        <w:autoSpaceDE w:val="0"/>
        <w:autoSpaceDN w:val="0"/>
        <w:adjustRightInd w:val="0"/>
        <w:snapToGrid w:val="0"/>
        <w:spacing w:line="580" w:lineRule="exact"/>
        <w:ind w:firstLine="641"/>
        <w:rPr>
          <w:color w:val="000000"/>
          <w:szCs w:val="32"/>
        </w:rPr>
      </w:pPr>
      <w:r>
        <w:rPr>
          <w:rFonts w:hint="eastAsia" w:eastAsia="楷体_GB2312"/>
          <w:b/>
          <w:bCs/>
          <w:color w:val="000000"/>
          <w:szCs w:val="32"/>
        </w:rPr>
        <w:t>（四）稳增长政策落实落地。</w:t>
      </w:r>
      <w:r>
        <w:rPr>
          <w:rFonts w:hint="eastAsia"/>
          <w:color w:val="000000"/>
          <w:szCs w:val="32"/>
        </w:rPr>
        <w:t>成立了稳经济大盘工作专班，下设</w:t>
      </w:r>
      <w:r>
        <w:rPr>
          <w:color w:val="000000"/>
          <w:szCs w:val="32"/>
        </w:rPr>
        <w:t>10</w:t>
      </w:r>
      <w:r>
        <w:rPr>
          <w:rFonts w:hint="eastAsia"/>
          <w:color w:val="000000"/>
          <w:szCs w:val="32"/>
        </w:rPr>
        <w:t>个工作组，制定了《关于进一步狠抓政策落实更好发挥财</w:t>
      </w:r>
      <w:r>
        <w:rPr>
          <w:rFonts w:hint="eastAsia"/>
          <w:color w:val="000000"/>
          <w:spacing w:val="-4"/>
          <w:szCs w:val="32"/>
        </w:rPr>
        <w:t>政稳经济作用的通知》。多方筹措资金，拨付电子消费券</w:t>
      </w:r>
      <w:r>
        <w:rPr>
          <w:color w:val="000000"/>
          <w:spacing w:val="-4"/>
          <w:szCs w:val="32"/>
        </w:rPr>
        <w:t>1200</w:t>
      </w:r>
      <w:r>
        <w:rPr>
          <w:rFonts w:hint="eastAsia"/>
          <w:color w:val="000000"/>
          <w:spacing w:val="-4"/>
          <w:szCs w:val="32"/>
        </w:rPr>
        <w:t>万元，对符合各项亲商惠企条件的</w:t>
      </w:r>
      <w:r>
        <w:rPr>
          <w:color w:val="000000"/>
          <w:spacing w:val="-4"/>
          <w:szCs w:val="32"/>
        </w:rPr>
        <w:t>795</w:t>
      </w:r>
      <w:r>
        <w:rPr>
          <w:rFonts w:hint="eastAsia"/>
          <w:color w:val="000000"/>
          <w:spacing w:val="-4"/>
          <w:szCs w:val="32"/>
        </w:rPr>
        <w:t>户企业兑现奖励</w:t>
      </w:r>
      <w:r>
        <w:rPr>
          <w:color w:val="000000"/>
          <w:spacing w:val="-4"/>
          <w:szCs w:val="32"/>
        </w:rPr>
        <w:t>8675</w:t>
      </w:r>
      <w:r>
        <w:rPr>
          <w:rFonts w:hint="eastAsia"/>
          <w:color w:val="000000"/>
          <w:spacing w:val="-4"/>
          <w:szCs w:val="32"/>
        </w:rPr>
        <w:t>万元，对承租国有资产类经营用房的中小微企业和个体工商户减免市级房租</w:t>
      </w:r>
      <w:r>
        <w:rPr>
          <w:color w:val="000000"/>
          <w:spacing w:val="-4"/>
          <w:szCs w:val="32"/>
        </w:rPr>
        <w:t>1711</w:t>
      </w:r>
      <w:r>
        <w:rPr>
          <w:rFonts w:hint="eastAsia"/>
          <w:color w:val="000000"/>
          <w:spacing w:val="-4"/>
          <w:szCs w:val="32"/>
        </w:rPr>
        <w:t>万元，分层次实施差异化政府性融资担保降费政策，举办“政采贷”产品推介，促进解决中小企业“融资难、融资贵”问题。</w:t>
      </w:r>
    </w:p>
    <w:p>
      <w:pPr>
        <w:pStyle w:val="23"/>
        <w:adjustRightInd w:val="0"/>
        <w:snapToGrid w:val="0"/>
        <w:spacing w:line="580" w:lineRule="exact"/>
        <w:ind w:firstLine="643"/>
        <w:rPr>
          <w:color w:val="000000"/>
          <w:szCs w:val="32"/>
        </w:rPr>
      </w:pPr>
      <w:r>
        <w:rPr>
          <w:rFonts w:hint="eastAsia" w:eastAsia="楷体_GB2312"/>
          <w:b/>
          <w:bCs/>
          <w:color w:val="000000"/>
          <w:szCs w:val="32"/>
        </w:rPr>
        <w:t>（五）“三保”责任进一步夯实。</w:t>
      </w:r>
      <w:r>
        <w:rPr>
          <w:rFonts w:hint="eastAsia"/>
          <w:color w:val="000000"/>
          <w:szCs w:val="32"/>
        </w:rPr>
        <w:t>在年初编制预算时，要求各县（区）坚持“三保”优先，足额编制“三保”预算，不留资金缺口。县区预算编制后，市财政局对“三保”预算逐县（区）进行了审核，出具了审核意见并上报省财政厅复审，通过地方财政运行系统按月监控“三保”执行情况。及时下达财力性转移支付，密切关注各县（区）财政库款情况，加大资金调度力度，保障疫情防控、“三保”等资金及时到位。</w:t>
      </w:r>
    </w:p>
    <w:p>
      <w:pPr>
        <w:pStyle w:val="23"/>
        <w:adjustRightInd w:val="0"/>
        <w:snapToGrid w:val="0"/>
        <w:spacing w:line="580" w:lineRule="exact"/>
        <w:ind w:firstLine="643"/>
        <w:rPr>
          <w:color w:val="000000"/>
          <w:szCs w:val="32"/>
        </w:rPr>
      </w:pPr>
      <w:r>
        <w:rPr>
          <w:rFonts w:hint="eastAsia" w:eastAsia="楷体_GB2312"/>
          <w:b/>
          <w:bCs/>
          <w:color w:val="000000"/>
          <w:szCs w:val="32"/>
        </w:rPr>
        <w:t>（六）财政管理全面加强。</w:t>
      </w:r>
      <w:r>
        <w:rPr>
          <w:rFonts w:hint="eastAsia"/>
          <w:color w:val="000000"/>
          <w:szCs w:val="32"/>
        </w:rPr>
        <w:t>统筹全市可用资源，紧盯重要时间节点研定债务化解计划，做好全口径债务监测预警，严格落实举债融资负面清单制，债务风险有效稳控。开展了青年干部读书会、科长讲业务、邀请省财政厅领导来汉讲政策等活动，提高干部队伍推改革、强管理、防风险的工作能力。有针对性地制定了绩效管理实施细则、衔接资金及涉农整合资金项目管理细则、青年理论学习工作方案等，着力推动财政管理水平稳步提升。</w:t>
      </w:r>
    </w:p>
    <w:p>
      <w:pPr>
        <w:pStyle w:val="23"/>
        <w:adjustRightInd w:val="0"/>
        <w:snapToGrid w:val="0"/>
        <w:spacing w:line="580" w:lineRule="exact"/>
        <w:ind w:firstLine="640"/>
        <w:rPr>
          <w:color w:val="000000"/>
          <w:szCs w:val="32"/>
        </w:rPr>
      </w:pPr>
      <w:r>
        <w:rPr>
          <w:rFonts w:hint="eastAsia"/>
          <w:color w:val="000000"/>
          <w:szCs w:val="32"/>
        </w:rPr>
        <w:t>在预算执行总体平稳的同时，还存在一些困难和问题，主要表现在，受疫情冲击、落实组合式退税减税政策等影响，上半年财政收入规模呈逐月下降趋势，除烟草业外其他重点行业对地方税收的贡献均不同程度下降，要完成全年地方财政收入目标面临很大压力。部分县（区）预算约束力不强，暂付性款项管理不规范，库款保障水平低，债务化解任务重，风险不容忽视。要落实“三保”等各项刚性支出，支持稳经济大盘，还要发放以前两个年度考核奖，以及调资和偿还到期债务本息等，保重点、保平衡的压力很大，财政收支矛盾进一步加剧。</w:t>
      </w:r>
    </w:p>
    <w:p>
      <w:pPr>
        <w:pStyle w:val="23"/>
        <w:adjustRightInd w:val="0"/>
        <w:snapToGrid w:val="0"/>
        <w:spacing w:line="580" w:lineRule="exact"/>
        <w:ind w:firstLine="640"/>
        <w:rPr>
          <w:rFonts w:eastAsia="黑体"/>
          <w:color w:val="000000"/>
          <w:szCs w:val="32"/>
        </w:rPr>
      </w:pPr>
      <w:r>
        <w:rPr>
          <w:rFonts w:hint="eastAsia" w:eastAsia="黑体"/>
          <w:color w:val="000000"/>
          <w:szCs w:val="32"/>
          <w:lang w:val="en-US" w:eastAsia="zh-CN"/>
        </w:rPr>
        <w:t>三</w:t>
      </w:r>
      <w:r>
        <w:rPr>
          <w:rFonts w:hint="eastAsia" w:eastAsia="黑体"/>
          <w:color w:val="000000"/>
          <w:szCs w:val="32"/>
        </w:rPr>
        <w:t>、下一步工作措施</w:t>
      </w:r>
    </w:p>
    <w:p>
      <w:pPr>
        <w:pStyle w:val="2"/>
        <w:widowControl w:val="0"/>
        <w:adjustRightInd w:val="0"/>
        <w:snapToGrid w:val="0"/>
        <w:spacing w:line="580" w:lineRule="exact"/>
        <w:ind w:firstLine="643"/>
        <w:rPr>
          <w:rFonts w:eastAsia="楷体_GB2312"/>
          <w:b/>
          <w:color w:val="000000"/>
          <w:szCs w:val="32"/>
        </w:rPr>
      </w:pPr>
      <w:r>
        <w:rPr>
          <w:rFonts w:hint="eastAsia" w:eastAsia="楷体_GB2312"/>
          <w:b/>
          <w:bCs/>
          <w:color w:val="000000"/>
          <w:szCs w:val="32"/>
        </w:rPr>
        <w:t>（一）全力支持稳经济大盘。</w:t>
      </w:r>
      <w:r>
        <w:rPr>
          <w:rFonts w:hint="eastAsia" w:hAnsi="仿宋_GB2312" w:eastAsia="仿宋_GB2312"/>
          <w:color w:val="000000"/>
          <w:kern w:val="0"/>
          <w:szCs w:val="32"/>
        </w:rPr>
        <w:t>紧盯重点领域，通过担保增信、降低费率、风险分担等方式，加强减税退税、财政奖补、融资担保、贷款贴息等财税政策联动，形成叠加效能，做好资金保障，稳住经济大盘。</w:t>
      </w:r>
    </w:p>
    <w:p>
      <w:pPr>
        <w:pStyle w:val="24"/>
        <w:adjustRightInd w:val="0"/>
        <w:snapToGrid w:val="0"/>
        <w:spacing w:line="580" w:lineRule="exact"/>
        <w:ind w:firstLine="643"/>
        <w:rPr>
          <w:rFonts w:eastAsia="楷体_GB2312"/>
          <w:b/>
          <w:color w:val="000000"/>
          <w:kern w:val="2"/>
          <w:sz w:val="32"/>
          <w:szCs w:val="32"/>
        </w:rPr>
      </w:pPr>
      <w:r>
        <w:rPr>
          <w:rFonts w:hint="eastAsia" w:eastAsia="楷体_GB2312"/>
          <w:b/>
          <w:bCs/>
          <w:color w:val="000000"/>
          <w:kern w:val="2"/>
          <w:sz w:val="32"/>
          <w:szCs w:val="32"/>
        </w:rPr>
        <w:t>（二）加强财政资源统筹。</w:t>
      </w:r>
      <w:r>
        <w:rPr>
          <w:rFonts w:hint="eastAsia" w:hAnsi="仿宋_GB2312" w:eastAsia="仿宋_GB2312"/>
          <w:color w:val="000000"/>
          <w:sz w:val="32"/>
          <w:szCs w:val="32"/>
        </w:rPr>
        <w:t>密切跟踪重点税源行业企业，强化分析研判，依法依规组织收入，做到应收尽收。强化一般公共预算与政府性基金预算、国有资本经营预算有机衔接，收回支出进度慢、效能低下的资金，统筹用于重大项目建设。</w:t>
      </w:r>
    </w:p>
    <w:p>
      <w:pPr>
        <w:adjustRightInd w:val="0"/>
        <w:snapToGrid w:val="0"/>
        <w:spacing w:line="580" w:lineRule="exact"/>
        <w:ind w:firstLine="643" w:firstLineChars="200"/>
        <w:rPr>
          <w:rFonts w:eastAsia="楷体_GB2312"/>
          <w:b/>
          <w:color w:val="000000"/>
          <w:szCs w:val="32"/>
        </w:rPr>
      </w:pPr>
      <w:r>
        <w:rPr>
          <w:rFonts w:hint="eastAsia" w:eastAsia="楷体_GB2312"/>
          <w:b/>
          <w:bCs/>
          <w:color w:val="000000"/>
          <w:szCs w:val="32"/>
        </w:rPr>
        <w:t>（三）深化财政管理改革。</w:t>
      </w:r>
      <w:r>
        <w:rPr>
          <w:rFonts w:hint="eastAsia" w:hAnsi="仿宋_GB2312"/>
          <w:color w:val="000000"/>
          <w:kern w:val="0"/>
          <w:szCs w:val="32"/>
        </w:rPr>
        <w:t>推进预算下达和资金拨付，加快执行进度。积极对接预算管理一体化规程，以项目为基本单元编制好</w:t>
      </w:r>
      <w:r>
        <w:rPr>
          <w:color w:val="000000"/>
          <w:kern w:val="0"/>
          <w:szCs w:val="32"/>
        </w:rPr>
        <w:t>2023</w:t>
      </w:r>
      <w:r>
        <w:rPr>
          <w:rFonts w:hint="eastAsia" w:hAnsi="仿宋_GB2312"/>
          <w:color w:val="000000"/>
          <w:kern w:val="0"/>
          <w:szCs w:val="32"/>
        </w:rPr>
        <w:t>年预算。全面实施预算绩效管理，健全全过程、全方位、全覆盖的绩效管理体系，做到“花钱必问效，无效必问责”。</w:t>
      </w:r>
    </w:p>
    <w:p>
      <w:pPr>
        <w:pStyle w:val="2"/>
        <w:widowControl w:val="0"/>
        <w:adjustRightInd w:val="0"/>
        <w:snapToGrid w:val="0"/>
        <w:spacing w:line="580" w:lineRule="exact"/>
        <w:ind w:firstLine="643"/>
        <w:rPr>
          <w:rFonts w:hAnsi="仿宋_GB2312" w:eastAsia="仿宋_GB2312"/>
          <w:color w:val="000000"/>
          <w:kern w:val="0"/>
          <w:szCs w:val="32"/>
        </w:rPr>
      </w:pPr>
      <w:r>
        <w:rPr>
          <w:rFonts w:hint="eastAsia" w:eastAsia="楷体_GB2312"/>
          <w:b/>
          <w:bCs/>
          <w:color w:val="000000"/>
          <w:szCs w:val="32"/>
        </w:rPr>
        <w:t>（四）防范化解重大风险。</w:t>
      </w:r>
      <w:r>
        <w:rPr>
          <w:rFonts w:hint="eastAsia" w:hAnsi="仿宋_GB2312" w:eastAsia="仿宋_GB2312"/>
          <w:color w:val="000000"/>
          <w:kern w:val="0"/>
          <w:szCs w:val="32"/>
        </w:rPr>
        <w:t>全面摸排和动态监测债务情况，强化风险化解目标责任考核，想方设法稳妥有效推进债务化解。硬化预算约束，严格规范对外借款审批程序，加强库款保障和预警监测，确保不发生“三保”等支付风险。</w:t>
      </w:r>
    </w:p>
    <w:p>
      <w:pPr>
        <w:pStyle w:val="2"/>
        <w:widowControl w:val="0"/>
        <w:adjustRightInd w:val="0"/>
        <w:snapToGrid w:val="0"/>
        <w:spacing w:line="580" w:lineRule="exact"/>
        <w:ind w:firstLine="705" w:firstLineChars="0"/>
        <w:rPr>
          <w:rFonts w:hAnsi="仿宋_GB2312" w:eastAsia="仿宋_GB2312"/>
          <w:color w:val="000000"/>
          <w:kern w:val="0"/>
          <w:szCs w:val="32"/>
        </w:rPr>
      </w:pPr>
      <w:r>
        <w:rPr>
          <w:rFonts w:hint="eastAsia" w:hAnsi="仿宋_GB2312" w:eastAsia="仿宋_GB2312"/>
          <w:color w:val="000000"/>
          <w:kern w:val="0"/>
          <w:szCs w:val="32"/>
        </w:rPr>
        <w:t>主任、副主任、秘书长、各位委员，今年财政工作面临的形势非常严峻，我们将在市委的坚强领导和市人大的监督支持下，改革创新，攻坚克难，砥砺前行，认真执行市人大常委会的审议意见，努力完成今年财政预算和各项财政工作任务。</w:t>
      </w:r>
    </w:p>
    <w:sectPr>
      <w:footerReference r:id="rId3" w:type="default"/>
      <w:footerReference r:id="rId4" w:type="even"/>
      <w:pgSz w:w="11906" w:h="16838"/>
      <w:pgMar w:top="2268" w:right="1531" w:bottom="1701" w:left="1531" w:header="0" w:footer="1304" w:gutter="0"/>
      <w:pgNumType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1－">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8"/>
      <w:ind w:right="360"/>
      <w:rPr>
        <w:rFonts w:ascii="宋体" w:hAnsi="宋体" w:eastAsia="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DRjNGRmMWZkOTU2Mzk2YTdjMTUyMzhlOWFkNjgifQ=="/>
  </w:docVars>
  <w:rsids>
    <w:rsidRoot w:val="00401FC2"/>
    <w:rsid w:val="00106795"/>
    <w:rsid w:val="002640F8"/>
    <w:rsid w:val="003A2ACA"/>
    <w:rsid w:val="00401FC2"/>
    <w:rsid w:val="0045579C"/>
    <w:rsid w:val="0058386A"/>
    <w:rsid w:val="006818FB"/>
    <w:rsid w:val="00982013"/>
    <w:rsid w:val="2D0779F2"/>
    <w:rsid w:val="31B51EEB"/>
    <w:rsid w:val="43C33556"/>
    <w:rsid w:val="71F17E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99"/>
    <w:pPr>
      <w:ind w:firstLine="420"/>
    </w:pPr>
  </w:style>
  <w:style w:type="paragraph" w:styleId="3">
    <w:name w:val="Body Text Indent"/>
    <w:basedOn w:val="1"/>
    <w:link w:val="13"/>
    <w:uiPriority w:val="99"/>
    <w:pPr>
      <w:widowControl/>
      <w:suppressAutoHyphens/>
      <w:spacing w:line="60" w:lineRule="auto"/>
      <w:ind w:firstLine="632" w:firstLineChars="200"/>
    </w:pPr>
    <w:rPr>
      <w:rFonts w:eastAsia="方正小标宋简体"/>
    </w:rPr>
  </w:style>
  <w:style w:type="paragraph" w:styleId="4">
    <w:name w:val="Body Text"/>
    <w:basedOn w:val="1"/>
    <w:link w:val="15"/>
    <w:qFormat/>
    <w:uiPriority w:val="99"/>
    <w:pPr>
      <w:spacing w:after="120"/>
    </w:pPr>
  </w:style>
  <w:style w:type="paragraph" w:styleId="5">
    <w:name w:val="Date"/>
    <w:basedOn w:val="1"/>
    <w:next w:val="1"/>
    <w:link w:val="16"/>
    <w:qFormat/>
    <w:uiPriority w:val="99"/>
    <w:pPr>
      <w:ind w:left="100" w:leftChars="2500"/>
    </w:pPr>
  </w:style>
  <w:style w:type="paragraph" w:styleId="6">
    <w:name w:val="Body Text Indent 2"/>
    <w:basedOn w:val="1"/>
    <w:link w:val="17"/>
    <w:qFormat/>
    <w:uiPriority w:val="99"/>
    <w:pPr>
      <w:ind w:firstLine="640" w:firstLineChars="200"/>
    </w:p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character" w:customStyle="1" w:styleId="13">
    <w:name w:val="Body Text Indent Char"/>
    <w:basedOn w:val="11"/>
    <w:link w:val="3"/>
    <w:semiHidden/>
    <w:qFormat/>
    <w:uiPriority w:val="99"/>
    <w:rPr>
      <w:rFonts w:eastAsia="仿宋_GB2312"/>
      <w:sz w:val="32"/>
      <w:szCs w:val="24"/>
    </w:rPr>
  </w:style>
  <w:style w:type="character" w:customStyle="1" w:styleId="14">
    <w:name w:val="Body Text First Indent 2 Char"/>
    <w:basedOn w:val="13"/>
    <w:link w:val="2"/>
    <w:semiHidden/>
    <w:qFormat/>
    <w:uiPriority w:val="99"/>
  </w:style>
  <w:style w:type="character" w:customStyle="1" w:styleId="15">
    <w:name w:val="Body Text Char"/>
    <w:basedOn w:val="11"/>
    <w:link w:val="4"/>
    <w:semiHidden/>
    <w:qFormat/>
    <w:uiPriority w:val="99"/>
    <w:rPr>
      <w:rFonts w:eastAsia="仿宋_GB2312"/>
      <w:sz w:val="32"/>
      <w:szCs w:val="24"/>
    </w:rPr>
  </w:style>
  <w:style w:type="character" w:customStyle="1" w:styleId="16">
    <w:name w:val="Date Char"/>
    <w:basedOn w:val="11"/>
    <w:link w:val="5"/>
    <w:semiHidden/>
    <w:qFormat/>
    <w:uiPriority w:val="99"/>
    <w:rPr>
      <w:rFonts w:eastAsia="仿宋_GB2312"/>
      <w:sz w:val="32"/>
      <w:szCs w:val="24"/>
    </w:rPr>
  </w:style>
  <w:style w:type="character" w:customStyle="1" w:styleId="17">
    <w:name w:val="Body Text Indent 2 Char"/>
    <w:basedOn w:val="11"/>
    <w:link w:val="6"/>
    <w:semiHidden/>
    <w:qFormat/>
    <w:uiPriority w:val="99"/>
    <w:rPr>
      <w:rFonts w:eastAsia="仿宋_GB2312"/>
      <w:sz w:val="32"/>
      <w:szCs w:val="24"/>
    </w:rPr>
  </w:style>
  <w:style w:type="character" w:customStyle="1" w:styleId="18">
    <w:name w:val="Balloon Text Char"/>
    <w:basedOn w:val="11"/>
    <w:link w:val="7"/>
    <w:semiHidden/>
    <w:qFormat/>
    <w:uiPriority w:val="99"/>
    <w:rPr>
      <w:rFonts w:eastAsia="仿宋_GB2312"/>
      <w:sz w:val="0"/>
      <w:szCs w:val="0"/>
    </w:rPr>
  </w:style>
  <w:style w:type="character" w:customStyle="1" w:styleId="19">
    <w:name w:val="Footer Char"/>
    <w:basedOn w:val="11"/>
    <w:link w:val="8"/>
    <w:semiHidden/>
    <w:qFormat/>
    <w:uiPriority w:val="99"/>
    <w:rPr>
      <w:rFonts w:eastAsia="仿宋_GB2312"/>
      <w:sz w:val="18"/>
      <w:szCs w:val="18"/>
    </w:rPr>
  </w:style>
  <w:style w:type="character" w:customStyle="1" w:styleId="20">
    <w:name w:val="Header Char"/>
    <w:basedOn w:val="11"/>
    <w:link w:val="9"/>
    <w:semiHidden/>
    <w:qFormat/>
    <w:uiPriority w:val="99"/>
    <w:rPr>
      <w:rFonts w:eastAsia="仿宋_GB2312"/>
      <w:sz w:val="18"/>
      <w:szCs w:val="18"/>
    </w:rPr>
  </w:style>
  <w:style w:type="paragraph" w:customStyle="1" w:styleId="21">
    <w:name w:val="Heading3"/>
    <w:basedOn w:val="1"/>
    <w:next w:val="1"/>
    <w:qFormat/>
    <w:uiPriority w:val="99"/>
    <w:pPr>
      <w:keepNext/>
      <w:keepLines/>
      <w:ind w:firstLine="640"/>
      <w:textAlignment w:val="baseline"/>
    </w:pPr>
    <w:rPr>
      <w:rFonts w:ascii="仿宋_GB2312" w:hAnsi="仿宋_GB2312" w:eastAsia="仿宋"/>
      <w:bCs/>
      <w:szCs w:val="32"/>
    </w:rPr>
  </w:style>
  <w:style w:type="paragraph" w:customStyle="1" w:styleId="22">
    <w:name w:val="_Style 22"/>
    <w:basedOn w:val="1"/>
    <w:next w:val="4"/>
    <w:qFormat/>
    <w:uiPriority w:val="99"/>
    <w:rPr>
      <w:rFonts w:ascii="华文中宋" w:hAnsi="华文中宋" w:eastAsia="华文中宋"/>
      <w:sz w:val="44"/>
    </w:rPr>
  </w:style>
  <w:style w:type="paragraph" w:customStyle="1" w:styleId="23">
    <w:name w:val="List Paragraph1"/>
    <w:basedOn w:val="1"/>
    <w:qFormat/>
    <w:uiPriority w:val="99"/>
    <w:pPr>
      <w:ind w:firstLine="420" w:firstLineChars="200"/>
    </w:pPr>
  </w:style>
  <w:style w:type="paragraph" w:customStyle="1" w:styleId="24">
    <w:name w:val="列出段落1"/>
    <w:basedOn w:val="1"/>
    <w:qFormat/>
    <w:uiPriority w:val="99"/>
    <w:pPr>
      <w:ind w:firstLine="420" w:firstLineChars="200"/>
    </w:pPr>
    <w:rPr>
      <w:rFonts w:eastAsia="宋体"/>
      <w:kern w:val="0"/>
      <w:sz w:val="20"/>
      <w:szCs w:val="21"/>
    </w:rPr>
  </w:style>
  <w:style w:type="character" w:customStyle="1" w:styleId="25">
    <w:name w:val="新页码"/>
    <w:basedOn w:val="11"/>
    <w:qFormat/>
    <w:uiPriority w:val="99"/>
    <w:rPr>
      <w:rFonts w:eastAsia="－1－"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2626</Words>
  <Characters>2833</Characters>
  <Lines>0</Lines>
  <Paragraphs>0</Paragraphs>
  <TotalTime>59</TotalTime>
  <ScaleCrop>false</ScaleCrop>
  <LinksUpToDate>false</LinksUpToDate>
  <CharactersWithSpaces>2833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2022-08-03T12:41:00Z</dcterms:created>
  <dc:creator>1111</dc:creator>
  <cp:lastModifiedBy>sk2</cp:lastModifiedBy>
  <cp:lastPrinted>2022-08-17T02:23:00Z</cp:lastPrinted>
  <dcterms:modified xsi:type="dcterms:W3CDTF">2022-09-06T01:31:32Z</dcterms:modified>
  <dc:title>汉中市政府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E4C6406629E04A158F0B1060E6DEF624</vt:lpwstr>
  </property>
  <property fmtid="{D5CDD505-2E9C-101B-9397-08002B2CF9AE}" pid="3" name="KSOProductBuildVer">
    <vt:lpwstr>2052-11.1.0.12358</vt:lpwstr>
  </property>
</Properties>
</file>