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政府信息公开情况统计表</w:t>
      </w:r>
    </w:p>
    <w:p>
      <w:pPr>
        <w:widowControl/>
        <w:spacing w:before="100" w:beforeAutospacing="1" w:after="100" w:afterAutospacing="1" w:line="500" w:lineRule="exact"/>
        <w:jc w:val="center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2017</w:t>
      </w:r>
      <w:r>
        <w:rPr>
          <w:rFonts w:hint="eastAsia" w:ascii="宋体" w:hAnsi="宋体" w:cs="宋体"/>
          <w:kern w:val="0"/>
          <w:sz w:val="24"/>
          <w:szCs w:val="24"/>
        </w:rPr>
        <w:t>年度）</w:t>
      </w:r>
    </w:p>
    <w:p>
      <w:pPr>
        <w:widowControl/>
        <w:spacing w:before="100" w:beforeAutospacing="1" w:after="180" w:line="500" w:lineRule="exact"/>
        <w:jc w:val="left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</w:t>
      </w:r>
      <w:r>
        <w:rPr>
          <w:rFonts w:ascii="宋体" w:hAnsi="宋体" w:cs="宋体"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kern w:val="0"/>
          <w:sz w:val="20"/>
          <w:szCs w:val="20"/>
        </w:rPr>
        <w:t>勉县人民政府信息中心</w:t>
      </w:r>
    </w:p>
    <w:tbl>
      <w:tblPr>
        <w:tblStyle w:val="3"/>
        <w:tblW w:w="9155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772"/>
        <w:gridCol w:w="901"/>
        <w:gridCol w:w="1482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统　计　指　标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4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rFonts w:ascii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（不同渠道和方式公开相同信息计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10421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政府公报公开政府信息数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政府网站公开政府信息数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9691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政务微博公开政府信息数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482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政务微信公开政府信息数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121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其他方式公开政府信息数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761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参加或举办新闻发布会总次数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政府网站在线访谈次数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其中：主要负责同志参加政府网站在线访谈次数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政策解读稿件发布数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151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微博微信回应事件数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其他方式回应事件数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当面申请数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传真申请数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网络申请数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信函申请数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按时办结数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延期办结数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属于已主动公开范围数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同意公开答复数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同意部分公开答复数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不同意公开答复数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其中：涉及国家秘密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涉及商业秘密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涉及个人隐私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危及国家安全、公共安全、经济安全和社会稳定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不是《条例》所指政府信息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法律法规规定的其他情形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不属于本行政机关公开数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6.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申请信息不存在数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FF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告知作出更改补充数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8.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告知通过其他途径办理数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兼职人员数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7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F4DEB"/>
    <w:rsid w:val="334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2018-03-27T08:26:00Z</dcterms:created>
  <dc:creator>何琪</dc:creator>
  <cp:lastModifiedBy>何琪</cp:lastModifiedBy>
  <dcterms:modified xsi:type="dcterms:W3CDTF">2018-03-27T08:27:10Z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