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政府信息公开情况统计表</w:t>
      </w:r>
    </w:p>
    <w:p>
      <w:pPr>
        <w:widowControl/>
        <w:jc w:val="center"/>
        <w:rPr>
          <w:rFonts w:cs="宋体" w:asciiTheme="minorEastAsia" w:hAnsiTheme="minorEastAsia" w:eastAsiaTheme="minorEastAsia"/>
          <w:bCs/>
          <w:kern w:val="0"/>
          <w:sz w:val="24"/>
          <w:szCs w:val="24"/>
        </w:rPr>
      </w:pPr>
      <w:r>
        <w:rPr>
          <w:rFonts w:cs="宋体" w:asciiTheme="minorEastAsia" w:hAnsiTheme="minorEastAsia" w:eastAsiaTheme="minorEastAsia"/>
          <w:kern w:val="0"/>
          <w:sz w:val="24"/>
          <w:szCs w:val="24"/>
        </w:rPr>
        <w:t>（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　2017　</w:t>
      </w:r>
      <w:r>
        <w:rPr>
          <w:rFonts w:cs="宋体" w:asciiTheme="minorEastAsia" w:hAnsiTheme="minorEastAsia" w:eastAsiaTheme="minorEastAsia"/>
          <w:kern w:val="0"/>
          <w:sz w:val="24"/>
          <w:szCs w:val="24"/>
        </w:rPr>
        <w:t>年度）</w:t>
      </w:r>
    </w:p>
    <w:p>
      <w:pPr>
        <w:widowControl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>填报单位： 汉中市汉台区人民政府办公室</w:t>
      </w:r>
    </w:p>
    <w:tbl>
      <w:tblPr>
        <w:tblStyle w:val="3"/>
        <w:tblW w:w="9450" w:type="dxa"/>
        <w:jc w:val="center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990"/>
        <w:gridCol w:w="930"/>
        <w:gridCol w:w="1530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4"/>
              </w:rPr>
              <w:t>统　计　指　标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4"/>
              </w:rPr>
              <w:t>单位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4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一、主动公开情况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（一）主动公开政府信息数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（不同渠道和方式公开相同信息计1条）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15378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　其中：主动公开规范性文件数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　　　　制发规范性文件总数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（二）通过不同渠道和方式公开政府信息的情况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1.政府公报公开政府信息数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2.政府网站公开政府信息数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13708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3.政务微博公开政府信息数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410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4.政务微信公开政府信息数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495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5.其他方式公开政府信息数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765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二、回应解读情况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（一）回应公众关注热点或重大舆情数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（二）通过不同渠道和方式回应解读的情况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1.参加或举办新闻发布会总次数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　 其中：主要负责同志参加新闻发布会次数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 xml:space="preserve">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2.政府网站在线访谈次数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　 其中：主要负责同志参加政府网站在线访谈次数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3.政策解读稿件发布数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篇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487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4.微博微信回应事件数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5.其他方式回应事件数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三、依申请公开情况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（一）收到申请数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1.当面申请数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2.传真申请数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3.网络申请数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4.信函申请数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（二）申请办结数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1.按时办结数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2.延期办结数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（三）申请答复数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1.属于已主动公开范围数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2.同意公开答复数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3.同意部分公开答复数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4.不同意公开答复数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 　其中：涉及国家秘密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　　　　 涉及商业秘密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　　　　 涉及个人隐私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　　　　 危及国家安全、公共安全、经济安全和社会稳定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　　　　 不是《条例》所指政府信息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　　　　 法律法规规定的其他情形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5.不属于本行政机关公开数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6.申请信息不存在数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7.告知作出更改补充数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8.告知通过其他途径办理数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四、行政复议数量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（一）维持具体行政行为数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五、行政诉讼数量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（一）维持具体行政行为或者驳回原告诉讼请求数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六、举报投诉数量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七、依申请公开信息收取的费用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八、机构建设和保障经费情况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（一）政府信息公开工作专门机构数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（二）设置政府信息公开查阅点数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（三）从事政府信息公开工作人员数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1.专职人员数（不包括政府公报及政府网站工作人员数）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　　　2.兼职人员数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（四）政府信息公开专项经费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九、政府信息公开会议和培训情况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（一）召开政府信息公开工作会议或专题会议数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（二）举办各类培训班数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20" w:hRule="atLeas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　　（三）接受培训人员数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人次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300</w:t>
            </w:r>
          </w:p>
        </w:tc>
      </w:tr>
    </w:tbl>
    <w:p>
      <w:r>
        <w:rPr>
          <w:rFonts w:ascii="宋体" w:hAnsi="宋体" w:eastAsia="宋体" w:cs="宋体"/>
          <w:kern w:val="0"/>
          <w:sz w:val="20"/>
          <w:szCs w:val="20"/>
        </w:rPr>
        <w:t>填报日</w:t>
      </w:r>
      <w:r>
        <w:rPr>
          <w:rFonts w:hint="eastAsia" w:ascii="宋体" w:hAnsi="宋体" w:eastAsia="宋体" w:cs="宋体"/>
          <w:kern w:val="0"/>
          <w:sz w:val="20"/>
          <w:szCs w:val="20"/>
        </w:rPr>
        <w:t>期：2018年3月21日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D6743"/>
    <w:rsid w:val="1E9D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2018-03-27T08:30:00Z</dcterms:created>
  <dc:creator>何琪</dc:creator>
  <cp:lastModifiedBy>何琪</cp:lastModifiedBy>
  <dcterms:modified xsi:type="dcterms:W3CDTF">2018-03-27T08:30:58Z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